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anchor simplePos="false" relativeHeight="0" behindDoc="false" locked="false" layoutInCell="true" allowOverlap="true">
            <wp:simplePos x="0" y="0"/>
            <wp:positionH relativeFrom="page">
              <wp:posOffset>0</wp:posOffset>
            </wp:positionH>
            <wp:positionV relativeFrom="page">
              <wp:posOffset>0</wp:posOffset>
            </wp:positionV>
            <wp:extent cx="7562850" cy="2268855"/>
            <wp:wrapTopAndBottom/>
            <wp:docPr id="0" name="Drawing 0" descr="17f00560a-81e2-4bec-beed-9d506970963f.png"/>
            <wp:cNvGraphicFramePr>
              <a:graphicFrameLocks noChangeAspect="true"/>
            </wp:cNvGraphicFramePr>
            <a:graphic>
              <a:graphicData uri="http://schemas.openxmlformats.org/drawingml/2006/picture">
                <pic:pic xmlns:pic="http://schemas.openxmlformats.org/drawingml/2006/picture">
                  <pic:nvPicPr>
                    <pic:cNvPr id="0" name="Picture 0" descr="17f00560a-81e2-4bec-beed-9d506970963f.png"/>
                    <pic:cNvPicPr>
                      <a:picLocks noChangeAspect="true"/>
                    </pic:cNvPicPr>
                  </pic:nvPicPr>
                  <pic:blipFill>
                    <a:blip r:embed="rId3"/>
                    <a:stretch>
                      <a:fillRect/>
                    </a:stretch>
                  </pic:blipFill>
                  <pic:spPr>
                    <a:xfrm>
                      <a:off x="0" y="0"/>
                      <a:ext cx="7562850" cy="2268855"/>
                    </a:xfrm>
                    <a:prstGeom prst="rect">
                      <a:avLst/>
                    </a:prstGeom>
                  </pic:spPr>
                </pic:pic>
              </a:graphicData>
            </a:graphic>
          </wp:anchor>
        </w:drawing>
      </w:r>
    </w:p>
    <w:p>
      <w:pPr>
        <w:spacing w:after="120" w:before="120" w:line="336" w:lineRule="auto"/>
        <w:ind w:firstLine="0" w:start="0"/>
        <w:jc w:val="start"/>
      </w:pPr>
      <w:r>
        <w:rPr>
          <w:rFonts w:ascii="Arimo Bold" w:hAnsi="Arimo Bold" w:cs="Arimo Bold" w:eastAsia="Arimo Bold"/>
          <w:b/>
          <w:bCs/>
          <w:color w:val="000000"/>
          <w:sz w:val="64"/>
          <w:szCs w:val="64"/>
        </w:rPr>
        <w:t xml:space="preserve">Şehir İçi Nakliyat 2025 Taşıma Fiyatları
</w:t>
      </w:r>
    </w:p>
    <w:p>
      <w:pPr>
        <w:spacing w:after="120" w:before="120" w:line="336" w:lineRule="auto"/>
        <w:ind w:firstLine="0" w:start="0"/>
        <w:jc w:val="start"/>
      </w:pPr>
      <w:r>
        <w:rPr>
          <w:rFonts w:ascii="Arimo" w:hAnsi="Arimo" w:cs="Arimo" w:eastAsia="Arimo"/>
          <w:color w:val="000000"/>
          <w:sz w:val="24"/>
          <w:szCs w:val="24"/>
        </w:rPr>
        <w:t xml:space="preserve">Günümüzün hızla değişen ekonomik koşulları ve artan yaşam maliyetleri, şehir içi nakliyat hizmetlerinin de çeşitli faktörlere bağlı olarak fiyatlandırılmasına yol açmaktadır. 2025 yılı itibarıyla şehir içi nakliyat fiyatları, çeşitli hizmet sağlayıcılar tarafından belirlenen kriterlere göre değişiklik göstermektedir. İşte bu kriterlerden bazıları ve bunların fiyatlar üzerindeki etkileri:
</w:t>
      </w:r>
    </w:p>
    <w:p>
      <w:pPr>
        <w:spacing w:after="120" w:before="120" w:line="336" w:lineRule="auto"/>
        <w:ind w:firstLine="0" w:start="0"/>
        <w:jc w:val="start"/>
      </w:pPr>
      <w:r>
        <w:rPr>
          <w:rFonts w:ascii="Arimo Bold" w:hAnsi="Arimo Bold" w:cs="Arimo Bold" w:eastAsia="Arimo Bold"/>
          <w:b/>
          <w:bCs/>
          <w:color w:val="000000"/>
          <w:sz w:val="36"/>
          <w:szCs w:val="36"/>
        </w:rPr>
        <w:t xml:space="preserve">Fiyat Belirleyici Faktörler
</w:t>
      </w:r>
    </w:p>
    <w:p>
      <w:pPr>
        <w:numPr>
          <w:ilvl w:val="0"/>
          <w:numId w:val="1"/>
        </w:numPr>
        <w:spacing w:after="0" w:before="0" w:line="336" w:lineRule="auto"/>
        <w:jc w:val="start"/>
      </w:pPr>
      <w:r>
        <w:rPr>
          <w:rFonts w:ascii="Arimo Bold" w:hAnsi="Arimo Bold" w:cs="Arimo Bold" w:eastAsia="Arimo Bold"/>
          <w:b/>
          <w:bCs/>
          <w:color w:val="000000"/>
          <w:sz w:val="24"/>
          <w:szCs w:val="24"/>
        </w:rPr>
        <w:t>Mesafe:</w:t>
      </w:r>
      <w:r>
        <w:rPr>
          <w:rFonts w:ascii="Arimo" w:hAnsi="Arimo" w:cs="Arimo" w:eastAsia="Arimo"/>
          <w:color w:val="000000"/>
          <w:sz w:val="24"/>
          <w:szCs w:val="24"/>
        </w:rPr>
        <w:t xml:space="preserve">
</w:t>
      </w:r>
    </w:p>
    <w:p>
      <w:pPr>
        <w:numPr>
          <w:ilvl w:val="1"/>
          <w:numId w:val="2"/>
        </w:numPr>
        <w:spacing w:after="0" w:before="0" w:line="336" w:lineRule="auto"/>
        <w:jc w:val="start"/>
      </w:pPr>
      <w:r>
        <w:rPr>
          <w:rFonts w:ascii="Arimo" w:hAnsi="Arimo" w:cs="Arimo" w:eastAsia="Arimo"/>
          <w:color w:val="000000"/>
          <w:sz w:val="24"/>
          <w:szCs w:val="24"/>
        </w:rPr>
        <w:t xml:space="preserve">Taşınacak eşyaların çıkış noktası ile varış noktası arasındaki mesafe, fiyatlandırmada en önemli etkenlerden biridir. Kısa mesafeler genellikle daha uygun fiyatlıdır.
</w:t>
      </w:r>
    </w:p>
    <w:p>
      <w:pPr>
        <w:numPr>
          <w:ilvl w:val="0"/>
          <w:numId w:val="3"/>
        </w:numPr>
        <w:spacing w:after="0" w:before="0" w:line="336" w:lineRule="auto"/>
        <w:jc w:val="start"/>
      </w:pPr>
      <w:r>
        <w:rPr>
          <w:rFonts w:ascii="Arimo Bold" w:hAnsi="Arimo Bold" w:cs="Arimo Bold" w:eastAsia="Arimo Bold"/>
          <w:b/>
          <w:bCs/>
          <w:color w:val="000000"/>
          <w:sz w:val="24"/>
          <w:szCs w:val="24"/>
        </w:rPr>
        <w:t>Taşınacak Eşya Miktarı:</w:t>
      </w:r>
      <w:r>
        <w:rPr>
          <w:rFonts w:ascii="Arimo" w:hAnsi="Arimo" w:cs="Arimo" w:eastAsia="Arimo"/>
          <w:color w:val="000000"/>
          <w:sz w:val="24"/>
          <w:szCs w:val="24"/>
        </w:rPr>
        <w:t xml:space="preserve">
</w:t>
      </w:r>
    </w:p>
    <w:p>
      <w:pPr>
        <w:numPr>
          <w:ilvl w:val="1"/>
          <w:numId w:val="4"/>
        </w:numPr>
        <w:spacing w:after="0" w:before="0" w:line="336" w:lineRule="auto"/>
        <w:jc w:val="start"/>
      </w:pPr>
      <w:r>
        <w:rPr>
          <w:rFonts w:ascii="Arimo" w:hAnsi="Arimo" w:cs="Arimo" w:eastAsia="Arimo"/>
          <w:color w:val="000000"/>
          <w:sz w:val="24"/>
          <w:szCs w:val="24"/>
        </w:rPr>
        <w:t xml:space="preserve">Taşınacak eşyaların hacmi ve ağırlığı, nakliyat için gereken araç boyutunu etkiler. Büyük ve ağır eşyalar, daha büyük araçlar gerektireceğinden, maliyet artabilir.
</w:t>
      </w:r>
    </w:p>
    <w:p>
      <w:pPr>
        <w:numPr>
          <w:ilvl w:val="0"/>
          <w:numId w:val="5"/>
        </w:numPr>
        <w:spacing w:after="0" w:before="0" w:line="336" w:lineRule="auto"/>
        <w:jc w:val="start"/>
      </w:pPr>
      <w:r>
        <w:rPr>
          <w:rFonts w:ascii="Arimo Bold" w:hAnsi="Arimo Bold" w:cs="Arimo Bold" w:eastAsia="Arimo Bold"/>
          <w:b/>
          <w:bCs/>
          <w:color w:val="000000"/>
          <w:sz w:val="24"/>
          <w:szCs w:val="24"/>
        </w:rPr>
        <w:t>Hizmet Türü:</w:t>
      </w:r>
      <w:r>
        <w:rPr>
          <w:rFonts w:ascii="Arimo" w:hAnsi="Arimo" w:cs="Arimo" w:eastAsia="Arimo"/>
          <w:color w:val="000000"/>
          <w:sz w:val="24"/>
          <w:szCs w:val="24"/>
        </w:rPr>
        <w:t xml:space="preserve">
</w:t>
      </w:r>
    </w:p>
    <w:p>
      <w:pPr>
        <w:numPr>
          <w:ilvl w:val="1"/>
          <w:numId w:val="6"/>
        </w:numPr>
        <w:spacing w:after="0" w:before="0" w:line="336" w:lineRule="auto"/>
        <w:jc w:val="start"/>
      </w:pPr>
      <w:r>
        <w:rPr>
          <w:rFonts w:ascii="Arimo" w:hAnsi="Arimo" w:cs="Arimo" w:eastAsia="Arimo"/>
          <w:color w:val="000000"/>
          <w:sz w:val="24"/>
          <w:szCs w:val="24"/>
        </w:rPr>
        <w:t xml:space="preserve">Standart taşımacılık hizmeti, paketleme ve montaj gibi ek hizmetlerle kombine edilebilir. Her bir ek hizmet, toplam maliyeti artırabilir.
</w:t>
      </w:r>
    </w:p>
    <w:p>
      <w:pPr>
        <w:numPr>
          <w:ilvl w:val="0"/>
          <w:numId w:val="7"/>
        </w:numPr>
        <w:spacing w:after="0" w:before="0" w:line="336" w:lineRule="auto"/>
        <w:jc w:val="start"/>
      </w:pPr>
      <w:r>
        <w:rPr>
          <w:rFonts w:ascii="Arimo Bold" w:hAnsi="Arimo Bold" w:cs="Arimo Bold" w:eastAsia="Arimo Bold"/>
          <w:b/>
          <w:bCs/>
          <w:color w:val="000000"/>
          <w:sz w:val="24"/>
          <w:szCs w:val="24"/>
        </w:rPr>
        <w:t>Zamanlama:</w:t>
      </w:r>
      <w:r>
        <w:rPr>
          <w:rFonts w:ascii="Arimo" w:hAnsi="Arimo" w:cs="Arimo" w:eastAsia="Arimo"/>
          <w:color w:val="000000"/>
          <w:sz w:val="24"/>
          <w:szCs w:val="24"/>
        </w:rPr>
        <w:t xml:space="preserve">
</w:t>
      </w:r>
    </w:p>
    <w:p>
      <w:pPr>
        <w:numPr>
          <w:ilvl w:val="1"/>
          <w:numId w:val="8"/>
        </w:numPr>
        <w:spacing w:after="0" w:before="0" w:line="336" w:lineRule="auto"/>
        <w:jc w:val="start"/>
      </w:pPr>
      <w:r>
        <w:rPr>
          <w:rFonts w:ascii="Arimo" w:hAnsi="Arimo" w:cs="Arimo" w:eastAsia="Arimo"/>
          <w:color w:val="000000"/>
          <w:sz w:val="24"/>
          <w:szCs w:val="24"/>
        </w:rPr>
        <w:t xml:space="preserve">Yoğun dönemlerde (örneğin, hafta sonları veya tatil dönemleri) nakliyat hizmetleri daha pahalı olabilir. Hafta içi günleri veya yoğun olmayan zaman dilimlerinde yapılan taşınmalar genellikle daha ekonomik olacaktır.
</w:t>
      </w:r>
    </w:p>
    <w:p>
      <w:pPr>
        <w:numPr>
          <w:ilvl w:val="0"/>
          <w:numId w:val="9"/>
        </w:numPr>
        <w:spacing w:after="0" w:before="0" w:line="336" w:lineRule="auto"/>
        <w:jc w:val="start"/>
      </w:pPr>
      <w:r>
        <w:rPr>
          <w:rFonts w:ascii="Arimo Bold" w:hAnsi="Arimo Bold" w:cs="Arimo Bold" w:eastAsia="Arimo Bold"/>
          <w:b/>
          <w:bCs/>
          <w:color w:val="000000"/>
          <w:sz w:val="24"/>
          <w:szCs w:val="24"/>
        </w:rPr>
        <w:t>Sigorta:</w:t>
      </w:r>
      <w:r>
        <w:rPr>
          <w:rFonts w:ascii="Arimo" w:hAnsi="Arimo" w:cs="Arimo" w:eastAsia="Arimo"/>
          <w:color w:val="000000"/>
          <w:sz w:val="24"/>
          <w:szCs w:val="24"/>
        </w:rPr>
        <w:t xml:space="preserve">
</w:t>
      </w:r>
    </w:p>
    <w:p>
      <w:pPr>
        <w:numPr>
          <w:ilvl w:val="1"/>
          <w:numId w:val="10"/>
        </w:numPr>
        <w:spacing w:after="0" w:before="0" w:line="336" w:lineRule="auto"/>
        <w:jc w:val="start"/>
      </w:pPr>
      <w:r>
        <w:rPr>
          <w:rFonts w:ascii="Arimo" w:hAnsi="Arimo" w:cs="Arimo" w:eastAsia="Arimo"/>
          <w:color w:val="000000"/>
          <w:sz w:val="24"/>
          <w:szCs w:val="24"/>
        </w:rPr>
        <w:t xml:space="preserve">Taşıma sırasında eşyaların zarar görme riskine karşı sigorta yaptırmak, ekstra bir maliyet oluşturabilir ancak eşyaların güvenliği açısından önemlidir.
</w:t>
      </w:r>
    </w:p>
    <w:p>
      <w:pPr>
        <w:spacing w:after="120" w:before="120" w:line="336" w:lineRule="auto"/>
        <w:ind w:firstLine="0" w:start="0"/>
        <w:jc w:val="start"/>
      </w:pPr>
      <w:r>
        <w:rPr>
          <w:rFonts w:ascii="Arimo Bold" w:hAnsi="Arimo Bold" w:cs="Arimo Bold" w:eastAsia="Arimo Bold"/>
          <w:b/>
          <w:bCs/>
          <w:color w:val="000000"/>
          <w:sz w:val="36"/>
          <w:szCs w:val="36"/>
        </w:rPr>
        <w:t xml:space="preserve">Ortalama Fiyat Aralığı
</w:t>
      </w:r>
    </w:p>
    <w:p>
      <w:pPr>
        <w:spacing w:after="120" w:before="120" w:line="336" w:lineRule="auto"/>
        <w:ind w:firstLine="0" w:start="0"/>
        <w:jc w:val="start"/>
      </w:pPr>
      <w:r>
        <w:rPr>
          <w:rFonts w:ascii="Arimo" w:hAnsi="Arimo" w:cs="Arimo" w:eastAsia="Arimo"/>
          <w:color w:val="000000"/>
          <w:sz w:val="24"/>
          <w:szCs w:val="24"/>
        </w:rPr>
        <w:t xml:space="preserve">2025 yılı için şehir içi nakliyat fiyatları, yukarıda belirtilen faktörlere göre değişiklik göstermektedir. Ancak genel bir fiyat aralığı vermek gerekirse:
</w:t>
      </w:r>
    </w:p>
    <w:p>
      <w:pPr>
        <w:numPr>
          <w:ilvl w:val="0"/>
          <w:numId w:val="11"/>
        </w:numPr>
        <w:spacing w:after="0" w:before="0" w:line="336" w:lineRule="auto"/>
        <w:jc w:val="start"/>
      </w:pPr>
      <w:r>
        <w:rPr>
          <w:rFonts w:ascii="Arimo Bold" w:hAnsi="Arimo Bold" w:cs="Arimo Bold" w:eastAsia="Arimo Bold"/>
          <w:b/>
          <w:bCs/>
          <w:color w:val="000000"/>
          <w:sz w:val="24"/>
          <w:szCs w:val="24"/>
        </w:rPr>
        <w:t>Küçük Daireler (1+1 veya stüdyo): Ortalama 2</w:t>
      </w:r>
      <w:r>
        <w:rPr>
          <w:rFonts w:ascii="Arimo Bold" w:hAnsi="Arimo Bold" w:cs="Arimo Bold" w:eastAsia="Arimo Bold"/>
          <w:b/>
          <w:bCs/>
          <w:color w:val="000000"/>
          <w:sz w:val="24"/>
          <w:szCs w:val="24"/>
        </w:rPr>
        <w:t>5</w:t>
      </w:r>
      <w:r>
        <w:rPr>
          <w:rFonts w:ascii="Arimo Bold" w:hAnsi="Arimo Bold" w:cs="Arimo Bold" w:eastAsia="Arimo Bold"/>
          <w:b/>
          <w:bCs/>
          <w:color w:val="000000"/>
          <w:sz w:val="24"/>
          <w:szCs w:val="24"/>
        </w:rPr>
        <w:t>000 - 3</w:t>
      </w:r>
      <w:r>
        <w:rPr>
          <w:rFonts w:ascii="Arimo Bold" w:hAnsi="Arimo Bold" w:cs="Arimo Bold" w:eastAsia="Arimo Bold"/>
          <w:b/>
          <w:bCs/>
          <w:color w:val="000000"/>
          <w:sz w:val="24"/>
          <w:szCs w:val="24"/>
        </w:rPr>
        <w:t>5</w:t>
      </w:r>
      <w:r>
        <w:rPr>
          <w:rFonts w:ascii="Arimo Bold" w:hAnsi="Arimo Bold" w:cs="Arimo Bold" w:eastAsia="Arimo Bold"/>
          <w:b/>
          <w:bCs/>
          <w:color w:val="000000"/>
          <w:sz w:val="24"/>
          <w:szCs w:val="24"/>
        </w:rPr>
        <w:t xml:space="preserve">000 TL
</w:t>
      </w:r>
    </w:p>
    <w:p>
      <w:pPr>
        <w:numPr>
          <w:ilvl w:val="0"/>
          <w:numId w:val="11"/>
        </w:numPr>
        <w:spacing w:after="0" w:before="0" w:line="336" w:lineRule="auto"/>
        <w:jc w:val="start"/>
      </w:pPr>
      <w:r>
        <w:rPr>
          <w:rFonts w:ascii="Arimo Bold" w:hAnsi="Arimo Bold" w:cs="Arimo Bold" w:eastAsia="Arimo Bold"/>
          <w:b/>
          <w:bCs/>
          <w:color w:val="000000"/>
          <w:sz w:val="24"/>
          <w:szCs w:val="24"/>
        </w:rPr>
        <w:t>Orta Boy Daireler (2+1): Ortalama 30</w:t>
      </w:r>
      <w:r>
        <w:rPr>
          <w:rFonts w:ascii="Arimo Bold" w:hAnsi="Arimo Bold" w:cs="Arimo Bold" w:eastAsia="Arimo Bold"/>
          <w:b/>
          <w:bCs/>
          <w:color w:val="000000"/>
          <w:sz w:val="24"/>
          <w:szCs w:val="24"/>
        </w:rPr>
        <w:t>0</w:t>
      </w:r>
      <w:r>
        <w:rPr>
          <w:rFonts w:ascii="Arimo Bold" w:hAnsi="Arimo Bold" w:cs="Arimo Bold" w:eastAsia="Arimo Bold"/>
          <w:b/>
          <w:bCs/>
          <w:color w:val="000000"/>
          <w:sz w:val="24"/>
          <w:szCs w:val="24"/>
        </w:rPr>
        <w:t xml:space="preserve">00 - </w:t>
      </w:r>
      <w:r>
        <w:rPr>
          <w:rFonts w:ascii="Arimo Bold" w:hAnsi="Arimo Bold" w:cs="Arimo Bold" w:eastAsia="Arimo Bold"/>
          <w:b/>
          <w:bCs/>
          <w:color w:val="000000"/>
          <w:sz w:val="24"/>
          <w:szCs w:val="24"/>
        </w:rPr>
        <w:t>4</w:t>
      </w:r>
      <w:r>
        <w:rPr>
          <w:rFonts w:ascii="Arimo Bold" w:hAnsi="Arimo Bold" w:cs="Arimo Bold" w:eastAsia="Arimo Bold"/>
          <w:b/>
          <w:bCs/>
          <w:color w:val="000000"/>
          <w:sz w:val="24"/>
          <w:szCs w:val="24"/>
        </w:rPr>
        <w:t>0</w:t>
      </w:r>
      <w:r>
        <w:rPr>
          <w:rFonts w:ascii="Arimo Bold" w:hAnsi="Arimo Bold" w:cs="Arimo Bold" w:eastAsia="Arimo Bold"/>
          <w:b/>
          <w:bCs/>
          <w:color w:val="000000"/>
          <w:sz w:val="24"/>
          <w:szCs w:val="24"/>
        </w:rPr>
        <w:t>0</w:t>
      </w:r>
      <w:r>
        <w:rPr>
          <w:rFonts w:ascii="Arimo Bold" w:hAnsi="Arimo Bold" w:cs="Arimo Bold" w:eastAsia="Arimo Bold"/>
          <w:b/>
          <w:bCs/>
          <w:color w:val="000000"/>
          <w:sz w:val="24"/>
          <w:szCs w:val="24"/>
        </w:rPr>
        <w:t xml:space="preserve">00 TL
</w:t>
      </w:r>
    </w:p>
    <w:p>
      <w:pPr>
        <w:numPr>
          <w:ilvl w:val="0"/>
          <w:numId w:val="11"/>
        </w:numPr>
        <w:spacing w:after="0" w:before="0" w:line="336" w:lineRule="auto"/>
        <w:jc w:val="start"/>
      </w:pPr>
      <w:r>
        <w:rPr>
          <w:rFonts w:ascii="Arimo Bold" w:hAnsi="Arimo Bold" w:cs="Arimo Bold" w:eastAsia="Arimo Bold"/>
          <w:b/>
          <w:bCs/>
          <w:color w:val="000000"/>
          <w:sz w:val="24"/>
          <w:szCs w:val="24"/>
        </w:rPr>
        <w:t xml:space="preserve">Büyük Daireler (3+1 ve üzeri): Ortalama </w:t>
      </w:r>
      <w:r>
        <w:rPr>
          <w:rFonts w:ascii="Arimo Bold" w:hAnsi="Arimo Bold" w:cs="Arimo Bold" w:eastAsia="Arimo Bold"/>
          <w:b/>
          <w:bCs/>
          <w:color w:val="000000"/>
          <w:sz w:val="24"/>
          <w:szCs w:val="24"/>
        </w:rPr>
        <w:t>6</w:t>
      </w:r>
      <w:r>
        <w:rPr>
          <w:rFonts w:ascii="Arimo Bold" w:hAnsi="Arimo Bold" w:cs="Arimo Bold" w:eastAsia="Arimo Bold"/>
          <w:b/>
          <w:bCs/>
          <w:color w:val="000000"/>
          <w:sz w:val="24"/>
          <w:szCs w:val="24"/>
        </w:rPr>
        <w:t>0</w:t>
      </w:r>
      <w:r>
        <w:rPr>
          <w:rFonts w:ascii="Arimo Bold" w:hAnsi="Arimo Bold" w:cs="Arimo Bold" w:eastAsia="Arimo Bold"/>
          <w:b/>
          <w:bCs/>
          <w:color w:val="000000"/>
          <w:sz w:val="24"/>
          <w:szCs w:val="24"/>
        </w:rPr>
        <w:t>0</w:t>
      </w:r>
      <w:r>
        <w:rPr>
          <w:rFonts w:ascii="Arimo Bold" w:hAnsi="Arimo Bold" w:cs="Arimo Bold" w:eastAsia="Arimo Bold"/>
          <w:b/>
          <w:bCs/>
          <w:color w:val="000000"/>
          <w:sz w:val="24"/>
          <w:szCs w:val="24"/>
        </w:rPr>
        <w:t xml:space="preserve">00 - 8000 TL
</w:t>
      </w:r>
    </w:p>
    <w:p>
      <w:pPr>
        <w:spacing w:after="120" w:before="120" w:line="336" w:lineRule="auto"/>
        <w:ind w:firstLine="0" w:start="0"/>
        <w:jc w:val="start"/>
      </w:pPr>
      <w:r>
        <w:rPr>
          <w:rFonts w:ascii="Arimo" w:hAnsi="Arimo" w:cs="Arimo" w:eastAsia="Arimo"/>
          <w:color w:val="000000"/>
          <w:sz w:val="24"/>
          <w:szCs w:val="24"/>
        </w:rPr>
        <w:t xml:space="preserve">Bu fiyatlar, temel taşıma hizmetlerini kapsamaktadır. Ek hizmetler ve özel talepler bu fiyatlara dahil değildir.
</w:t>
      </w:r>
    </w:p>
    <w:p>
      <w:pPr>
        <w:spacing w:after="120" w:before="120" w:line="336" w:lineRule="auto"/>
        <w:ind w:firstLine="0" w:start="0"/>
        <w:jc w:val="start"/>
      </w:pPr>
      <w:r>
        <w:rPr>
          <w:rFonts w:ascii="Arimo Bold" w:hAnsi="Arimo Bold" w:cs="Arimo Bold" w:eastAsia="Arimo Bold"/>
          <w:b/>
          <w:bCs/>
          <w:color w:val="000000"/>
          <w:sz w:val="36"/>
          <w:szCs w:val="36"/>
        </w:rPr>
        <w:t xml:space="preserve">Ek Hizmetler
</w:t>
      </w:r>
    </w:p>
    <w:p>
      <w:pPr>
        <w:numPr>
          <w:ilvl w:val="0"/>
          <w:numId w:val="12"/>
        </w:numPr>
        <w:spacing w:after="0" w:before="0" w:line="336" w:lineRule="auto"/>
        <w:jc w:val="start"/>
      </w:pPr>
      <w:r>
        <w:rPr>
          <w:rFonts w:ascii="Arimo Bold" w:hAnsi="Arimo Bold" w:cs="Arimo Bold" w:eastAsia="Arimo Bold"/>
          <w:b/>
          <w:bCs/>
          <w:color w:val="000000"/>
          <w:sz w:val="24"/>
          <w:szCs w:val="24"/>
        </w:rPr>
        <w:t>Paketleme Hizmeti:</w:t>
      </w:r>
      <w:r>
        <w:rPr>
          <w:rFonts w:ascii="Arimo" w:hAnsi="Arimo" w:cs="Arimo" w:eastAsia="Arimo"/>
          <w:color w:val="000000"/>
          <w:sz w:val="24"/>
          <w:szCs w:val="24"/>
        </w:rPr>
        <w:t xml:space="preserve"> Eşyalarınızın güvenli bir şekilde taşınabilmesi için profesyonel paketleme hizmeti sunulabilir. Bu hizmet genellikle ekstra bir maliyet oluşturur.
</w:t>
      </w:r>
    </w:p>
    <w:p>
      <w:pPr>
        <w:numPr>
          <w:ilvl w:val="0"/>
          <w:numId w:val="12"/>
        </w:numPr>
        <w:spacing w:after="0" w:before="0" w:line="336" w:lineRule="auto"/>
        <w:jc w:val="start"/>
      </w:pPr>
      <w:r>
        <w:rPr>
          <w:rFonts w:ascii="Arimo Bold" w:hAnsi="Arimo Bold" w:cs="Arimo Bold" w:eastAsia="Arimo Bold"/>
          <w:b/>
          <w:bCs/>
          <w:color w:val="000000"/>
          <w:sz w:val="24"/>
          <w:szCs w:val="24"/>
        </w:rPr>
        <w:t>Montaj ve Demontaj:</w:t>
      </w:r>
      <w:r>
        <w:rPr>
          <w:rFonts w:ascii="Arimo" w:hAnsi="Arimo" w:cs="Arimo" w:eastAsia="Arimo"/>
          <w:color w:val="000000"/>
          <w:sz w:val="24"/>
          <w:szCs w:val="24"/>
        </w:rPr>
        <w:t xml:space="preserve"> Mobilya ve diğer büyük eşyaların sökülmesi ve kurulması hizmetleri.
</w:t>
      </w:r>
    </w:p>
    <w:p>
      <w:pPr>
        <w:numPr>
          <w:ilvl w:val="0"/>
          <w:numId w:val="12"/>
        </w:numPr>
        <w:spacing w:after="0" w:before="0" w:line="336" w:lineRule="auto"/>
        <w:jc w:val="start"/>
      </w:pPr>
      <w:r>
        <w:rPr>
          <w:rFonts w:ascii="Arimo Bold" w:hAnsi="Arimo Bold" w:cs="Arimo Bold" w:eastAsia="Arimo Bold"/>
          <w:b/>
          <w:bCs/>
          <w:color w:val="000000"/>
          <w:sz w:val="24"/>
          <w:szCs w:val="24"/>
        </w:rPr>
        <w:t>Asansörlü Taşıma:</w:t>
      </w:r>
      <w:r>
        <w:rPr>
          <w:rFonts w:ascii="Arimo" w:hAnsi="Arimo" w:cs="Arimo" w:eastAsia="Arimo"/>
          <w:color w:val="000000"/>
          <w:sz w:val="24"/>
          <w:szCs w:val="24"/>
        </w:rPr>
        <w:t xml:space="preserve"> Yüksek katlı binalarda taşınma kolaylığı sağlamak için tercih edilir. Ekstra bir ücrete tabidir.
</w:t>
      </w:r>
    </w:p>
    <w:p>
      <w:pPr>
        <w:spacing w:after="120" w:before="120" w:line="336" w:lineRule="auto"/>
        <w:ind w:firstLine="0" w:start="0"/>
        <w:jc w:val="start"/>
      </w:pPr>
      <w:r>
        <w:rPr>
          <w:rFonts w:ascii="Arimo" w:hAnsi="Arimo" w:cs="Arimo" w:eastAsia="Arimo"/>
          <w:color w:val="000000"/>
          <w:sz w:val="24"/>
          <w:szCs w:val="24"/>
        </w:rPr>
        <w:t>Şehir içi nakliyat hizmetleri alırken doğru fiyatlandırma ve kaliteli hizmet almak için birkaç farklı firmadan teklif almak ve hizmet detaylarını karşılaştırmak önemlidir. 2025 yılında da güvenli ve sorunsuz bir taşınma süreci dileriz!</w:t>
      </w:r>
      <w:r>
        <w:rPr>
          <w:rFonts w:ascii="Arimo Bold" w:hAnsi="Arimo Bold" w:cs="Arimo Bold" w:eastAsia="Arimo Bold"/>
          <w:b/>
          <w:bCs/>
          <w:color w:val="000000"/>
          <w:sz w:val="64"/>
          <w:szCs w:val="6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Bold">
    <w:panose1 w:val="020B0704020202020204"/>
    <w:charset w:characterSet="1"/>
    <w:embedBold r:id="rId1"/>
  </w:font>
  <w:font w:name="Arimo Bold Italics">
    <w:panose1 w:val="020B0704020202090204"/>
    <w:charset w:characterSet="1"/>
    <w:embedBoldItalic r:id="rId2"/>
  </w:font>
  <w:font w:name="Arimo Italics">
    <w:panose1 w:val="020B0604020202090204"/>
    <w:charset w:characterSet="1"/>
    <w:embedItalic r:id="rId3"/>
  </w:font>
  <w:font w:name="Arimo">
    <w:panose1 w:val="020B0604020202020204"/>
    <w:charset w:characterSet="1"/>
    <w:embedRegular r:id="rId4"/>
  </w:font>
  <w:font w:name="Bricolage Grotesque Bold">
    <w:panose1 w:val="020B0605040402000204"/>
    <w:charset w:characterSet="1"/>
    <w:embedBold r:id="rId5"/>
  </w:font>
  <w:font w:name="Bricolage Grotesque Medium">
    <w:panose1 w:val="020B0605040402000204"/>
    <w:charset w:characterSet="1"/>
    <w:embedBold r:id="rId6"/>
  </w:font>
  <w:font w:name="Bricolage Grotesque Semi-Bold">
    <w:panose1 w:val="020B0605040402000204"/>
    <w:charset w:characterSet="1"/>
    <w:embedBold r:id="rId7"/>
  </w:font>
  <w:font w:name="Bricolage Grotesque Light">
    <w:panose1 w:val="020B0605040402000204"/>
    <w:charset w:characterSet="1"/>
    <w:embedRegular r:id="rId8"/>
  </w:font>
  <w:font w:name="Bricolage Grotesque Extra-Light">
    <w:panose1 w:val="020B0605040402000204"/>
    <w:charset w:characterSet="1"/>
    <w:embedRegular r:id="rId9"/>
  </w:font>
  <w:font w:name="Bricolage Grotesque Ultra-Bold">
    <w:panose1 w:val="020B0605040402000204"/>
    <w:charset w:characterSet="1"/>
    <w:embedBold r:id="rId10"/>
  </w:font>
  <w:font w:name="Bricolage Grotesque">
    <w:panose1 w:val="020B0605040402000204"/>
    <w:charset w:characterSet="1"/>
    <w:embedRegular r:id="rId11"/>
  </w:font>
  <w:font w:name="Montserrat Extra-Light Italics">
    <w:panose1 w:val="00000300000000000000"/>
    <w:charset w:characterSet="1"/>
    <w:embedItalic r:id="rId12"/>
  </w:font>
  <w:font w:name="Montserrat Heavy Italics">
    <w:panose1 w:val="00000A00000000000000"/>
    <w:charset w:characterSet="1"/>
    <w:embedBoldItalic r:id="rId13"/>
  </w:font>
  <w:font w:name="Montserrat Light">
    <w:panose1 w:val="00000400000000000000"/>
    <w:charset w:characterSet="1"/>
    <w:embedRegular r:id="rId14"/>
  </w:font>
  <w:font w:name="Montserrat Extra-Light">
    <w:panose1 w:val="00000300000000000000"/>
    <w:charset w:characterSet="1"/>
    <w:embedRegular r:id="rId15"/>
  </w:font>
  <w:font w:name="Montserrat">
    <w:panose1 w:val="00000500000000000000"/>
    <w:charset w:characterSet="1"/>
    <w:embedRegular r:id="rId16"/>
  </w:font>
  <w:font w:name="Montserrat Bold">
    <w:panose1 w:val="00000800000000000000"/>
    <w:charset w:characterSet="1"/>
    <w:embedBold r:id="rId17"/>
  </w:font>
  <w:font w:name="Montserrat Medium">
    <w:panose1 w:val="00000600000000000000"/>
    <w:charset w:characterSet="1"/>
    <w:embedBold r:id="rId18"/>
  </w:font>
  <w:font w:name="Montserrat Bold Italics">
    <w:panose1 w:val="00000800000000000000"/>
    <w:charset w:characterSet="1"/>
    <w:embedBoldItalic r:id="rId19"/>
  </w:font>
  <w:font w:name="Montserrat Semi-Bold">
    <w:panose1 w:val="00000700000000000000"/>
    <w:charset w:characterSet="1"/>
    <w:embedBold r:id="rId20"/>
  </w:font>
  <w:font w:name="Montserrat Thin">
    <w:panose1 w:val="00000300000000000000"/>
    <w:charset w:characterSet="1"/>
    <w:embedRegular r:id="rId21"/>
  </w:font>
  <w:font w:name="Montserrat Heavy">
    <w:panose1 w:val="00000A00000000000000"/>
    <w:charset w:characterSet="1"/>
    <w:embedBold r:id="rId22"/>
  </w:font>
  <w:font w:name="Montserrat Medium Italics">
    <w:panose1 w:val="00000600000000000000"/>
    <w:charset w:characterSet="1"/>
    <w:embedBoldItalic r:id="rId23"/>
  </w:font>
  <w:font w:name="Montserrat Light Italics">
    <w:panose1 w:val="00000400000000000000"/>
    <w:charset w:characterSet="1"/>
    <w:embedItalic r:id="rId24"/>
  </w:font>
  <w:font w:name="Montserrat Thin Italics">
    <w:panose1 w:val="00000300000000000000"/>
    <w:charset w:characterSet="1"/>
    <w:embedItalic r:id="rId25"/>
  </w:font>
  <w:font w:name="Montserrat Ultra-Bold">
    <w:panose1 w:val="00000900000000000000"/>
    <w:charset w:characterSet="1"/>
    <w:embedBold r:id="rId26"/>
  </w:font>
  <w:font w:name="Montserrat Italics">
    <w:panose1 w:val="00000500000000000000"/>
    <w:charset w:characterSet="1"/>
    <w:embedItalic r:id="rId27"/>
  </w:font>
  <w:font w:name="Montserrat Semi-Bold Italics">
    <w:panose1 w:val="00000700000000000000"/>
    <w:charset w:characterSet="1"/>
    <w:embedBoldItalic r:id="rId28"/>
  </w:font>
  <w:font w:name="Montserrat Ultra-Bold Italics">
    <w:panose1 w:val="00000900000000000000"/>
    <w:charset w:characterSet="1"/>
    <w:embedBoldItalic r:id="rId29"/>
  </w:font>
</w:fonts>
</file>

<file path=word/numbering.xml><?xml version="1.0" encoding="utf-8"?>
<w:numbering xmlns:w="http://schemas.openxmlformats.org/wordprocessingml/2006/main">
  <w:abstractNum w:abstractNumId="1">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3">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4">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5">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7">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8">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9">
    <w:multiLevelType w:val="hybridMultilevel"/>
    <w:lvl w:ilvl="0">
      <w:start w:val="1"/>
      <w:numFmt w:val="decimal"/>
      <w:lvlText w:val="%1."/>
      <w:lvlJc w:val="left"/>
      <w:pPr>
        <w:ind w:left="400" w:hanging="360"/>
      </w:pPr>
    </w:lvl>
    <w:lvl w:ilvl="1">
      <w:start w:val="1"/>
      <w:numFmt w:val="lowerLetter"/>
      <w:lvlText w:val="%2."/>
      <w:lvlJc w:val="left"/>
      <w:pPr>
        <w:ind w:left="800" w:hanging="360"/>
      </w:pPr>
    </w:lvl>
    <w:lvl w:ilvl="2">
      <w:start w:val="1"/>
      <w:numFmt w:val="lowerRoman"/>
      <w:lvlText w:val="%3."/>
      <w:lvlJc w:val="right"/>
      <w:pPr>
        <w:ind w:left="1200" w:hanging="180"/>
      </w:pPr>
    </w:lvl>
    <w:lvl w:ilvl="3">
      <w:start w:val="1"/>
      <w:numFmt w:val="decimal"/>
      <w:lvlText w:val="%4."/>
      <w:lvlJc w:val="left"/>
      <w:pPr>
        <w:ind w:left="1600" w:hanging="360"/>
      </w:pPr>
    </w:lvl>
    <w:lvl w:ilvl="4">
      <w:start w:val="1"/>
      <w:numFmt w:val="lowerLetter"/>
      <w:lvlText w:val="%5."/>
      <w:lvlJc w:val="left"/>
      <w:pPr>
        <w:ind w:left="2000" w:hanging="360"/>
      </w:pPr>
    </w:lvl>
    <w:lvl w:ilvl="5">
      <w:start w:val="1"/>
      <w:numFmt w:val="lowerRoman"/>
      <w:lvlText w:val="%6."/>
      <w:lvlJc w:val="right"/>
      <w:pPr>
        <w:ind w:left="2400" w:hanging="180"/>
      </w:pPr>
    </w:lvl>
    <w:lvl w:ilvl="6">
      <w:start w:val="1"/>
      <w:numFmt w:val="decimal"/>
      <w:lvlText w:val="%7."/>
      <w:lvlJc w:val="left"/>
      <w:pPr>
        <w:ind w:left="2800" w:hanging="360"/>
      </w:pPr>
    </w:lvl>
    <w:lvl w:ilvl="7">
      <w:start w:val="1"/>
      <w:numFmt w:val="lowerLetter"/>
      <w:lvlText w:val="%8."/>
      <w:lvlJc w:val="left"/>
      <w:pPr>
        <w:ind w:left="3200" w:hanging="360"/>
      </w:pPr>
    </w:lvl>
  </w:abstractNum>
  <w:abstractNum w:abstractNumId="10">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1">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abstractNum w:abstractNumId="12">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numbering.xml" Type="http://schemas.openxmlformats.org/officeDocument/2006/relationships/numbering"/></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14" Target="fonts/font14.odttf" Type="http://schemas.openxmlformats.org/officeDocument/2006/relationships/font"/><Relationship Id="rId15" Target="fonts/font15.odttf" Type="http://schemas.openxmlformats.org/officeDocument/2006/relationships/font"/><Relationship Id="rId16" Target="fonts/font16.odttf" Type="http://schemas.openxmlformats.org/officeDocument/2006/relationships/font"/><Relationship Id="rId17" Target="fonts/font17.odttf" Type="http://schemas.openxmlformats.org/officeDocument/2006/relationships/font"/><Relationship Id="rId18" Target="fonts/font18.odttf" Type="http://schemas.openxmlformats.org/officeDocument/2006/relationships/font"/><Relationship Id="rId19" Target="fonts/font19.odttf" Type="http://schemas.openxmlformats.org/officeDocument/2006/relationships/font"/><Relationship Id="rId2" Target="fonts/font2.odttf" Type="http://schemas.openxmlformats.org/officeDocument/2006/relationships/font"/><Relationship Id="rId20" Target="fonts/font20.odttf" Type="http://schemas.openxmlformats.org/officeDocument/2006/relationships/font"/><Relationship Id="rId21" Target="fonts/font21.odttf" Type="http://schemas.openxmlformats.org/officeDocument/2006/relationships/font"/><Relationship Id="rId22" Target="fonts/font22.odttf" Type="http://schemas.openxmlformats.org/officeDocument/2006/relationships/font"/><Relationship Id="rId23" Target="fonts/font23.odttf" Type="http://schemas.openxmlformats.org/officeDocument/2006/relationships/font"/><Relationship Id="rId24" Target="fonts/font24.odttf" Type="http://schemas.openxmlformats.org/officeDocument/2006/relationships/font"/><Relationship Id="rId25" Target="fonts/font25.odttf" Type="http://schemas.openxmlformats.org/officeDocument/2006/relationships/font"/><Relationship Id="rId26" Target="fonts/font26.odttf" Type="http://schemas.openxmlformats.org/officeDocument/2006/relationships/font"/><Relationship Id="rId27" Target="fonts/font27.odttf" Type="http://schemas.openxmlformats.org/officeDocument/2006/relationships/font"/><Relationship Id="rId28" Target="fonts/font28.odttf" Type="http://schemas.openxmlformats.org/officeDocument/2006/relationships/font"/><Relationship Id="rId29" Target="fonts/font29.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2025-04-16T05:28:45Z</dcterms:created>
  <dc:creator>Apache POI</dc:creator>
</cp:coreProperties>
</file>